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Compliance to Notice u/s 176(1) ITO 2001 — NTN 1234567-8 — Tax Year 2024</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notice u/s 176(1) of the Income Tax Ordinance, 2001 requiring production of information and documents for Tax Year 2024 has been received.</w:t>
      </w:r>
    </w:p>
    <w:p>
      <w:pPr>
        <w:spacing w:after="80" w:before="80"/>
      </w:pPr>
      <w:r>
        <w:rPr>
          <w:rFonts w:ascii="Times New Roman" w:cs="Times New Roman" w:eastAsia="Times New Roman" w:hAnsi="Times New Roman"/>
          <w:b/>
          <w:bCs/>
          <w:color w:val="333333"/>
          <w:sz w:val="22"/>
          <w:szCs w:val="22"/>
        </w:rPr>
        <w:t xml:space="preserve">2.  Documents Produced: </w:t>
      </w:r>
      <w:r>
        <w:rPr>
          <w:rFonts w:ascii="Times New Roman" w:cs="Times New Roman" w:eastAsia="Times New Roman" w:hAnsi="Times New Roman"/>
          <w:color w:val="333333"/>
          <w:sz w:val="22"/>
          <w:szCs w:val="22"/>
        </w:rPr>
        <w:t xml:space="preserve">In compliance with the notice, the following documents are attached herewith: (a) Bank statements for the period [July 2023 to June 2024]; (b) Sale and purchase invoices; (c) Lease/rental agreements; (d) Asset ownership documents; (e) Financial statements / accounts; (f) Any other documents specified in the notice.</w:t>
      </w:r>
    </w:p>
    <w:p>
      <w:pPr>
        <w:spacing w:after="80" w:before="80"/>
      </w:pPr>
      <w:r>
        <w:rPr>
          <w:rFonts w:ascii="Times New Roman" w:cs="Times New Roman" w:eastAsia="Times New Roman" w:hAnsi="Times New Roman"/>
          <w:b/>
          <w:bCs/>
          <w:color w:val="333333"/>
          <w:sz w:val="22"/>
          <w:szCs w:val="22"/>
        </w:rPr>
        <w:t xml:space="preserve">3.  Additional Clarification: </w:t>
      </w:r>
      <w:r>
        <w:rPr>
          <w:rFonts w:ascii="Times New Roman" w:cs="Times New Roman" w:eastAsia="Times New Roman" w:hAnsi="Times New Roman"/>
          <w:color w:val="333333"/>
          <w:sz w:val="22"/>
          <w:szCs w:val="22"/>
        </w:rPr>
        <w:t xml:space="preserve">Where any document is not available or not in possession of the taxpayer, the reason is: [state reason — document with third party / lost / not applicable to this taxpayer].</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176(1) empowers the Commissioner to require information relevant to the tax affairs of any person. The taxpayer has fully cooperated. Information not in the taxpayer's possession cannot legally be demanded. Reference: 2017 PTD 870.</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documents produced herewith may be accepted as full compliance with the notice;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No adverse inference may be drawn for documents genuinely not in the taxpayer's possession;</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2026-06-26T13:19:23.694Z</dcterms:created>
  <dcterms:modified xsi:type="dcterms:W3CDTF">2026-06-26T13:19:23.694Z</dcterms:modified>
</cp:coreProperties>
</file>

<file path=docProps/custom.xml><?xml version="1.0" encoding="utf-8"?>
<Properties xmlns="http://schemas.openxmlformats.org/officeDocument/2006/custom-properties" xmlns:vt="http://schemas.openxmlformats.org/officeDocument/2006/docPropsVTypes"/>
</file>