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Show Cause Notice u/s 73 Sales Tax Act 1990 — STRN 1234567-8 — Period [specify]</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show cause notice u/s 73 of the Sales Tax Act, 1990 alleging use of fake/flying invoices has been received. The taxpayer categorically rejects these allegations.</w:t>
      </w:r>
    </w:p>
    <w:p>
      <w:pPr>
        <w:spacing w:after="80" w:before="80"/>
      </w:pPr>
      <w:r>
        <w:rPr>
          <w:rFonts w:ascii="Times New Roman" w:cs="Times New Roman" w:eastAsia="Times New Roman" w:hAnsi="Times New Roman"/>
          <w:b/>
          <w:bCs/>
          <w:color w:val="333333"/>
          <w:sz w:val="22"/>
          <w:szCs w:val="22"/>
        </w:rPr>
        <w:t xml:space="preserve">2.  Categorical Denial: </w:t>
      </w:r>
      <w:r>
        <w:rPr>
          <w:rFonts w:ascii="Times New Roman" w:cs="Times New Roman" w:eastAsia="Times New Roman" w:hAnsi="Times New Roman"/>
          <w:color w:val="333333"/>
          <w:sz w:val="22"/>
          <w:szCs w:val="22"/>
        </w:rPr>
        <w:t xml:space="preserve">It is emphatically submitted that: (a) All invoices used for input tax adjustment are genuine and relate to actual business transactions; (b) All suppliers are registered and active STR holders; (c) Actual physical delivery of goods was received against each invoice; (d) Payments were made through banking channels — bank statements attached.</w:t>
      </w:r>
    </w:p>
    <w:p>
      <w:pPr>
        <w:spacing w:after="80" w:before="80"/>
      </w:pPr>
      <w:r>
        <w:rPr>
          <w:rFonts w:ascii="Times New Roman" w:cs="Times New Roman" w:eastAsia="Times New Roman" w:hAnsi="Times New Roman"/>
          <w:b/>
          <w:bCs/>
          <w:color w:val="333333"/>
          <w:sz w:val="22"/>
          <w:szCs w:val="22"/>
        </w:rPr>
        <w:t xml:space="preserve">3.  Invoice-wise Evidence: </w:t>
      </w:r>
      <w:r>
        <w:rPr>
          <w:rFonts w:ascii="Times New Roman" w:cs="Times New Roman" w:eastAsia="Times New Roman" w:hAnsi="Times New Roman"/>
          <w:color w:val="333333"/>
          <w:sz w:val="22"/>
          <w:szCs w:val="22"/>
        </w:rPr>
        <w:t xml:space="preserve">For each invoice flagged: (a) The supplier [STRN] is/was registered at the time of transaction; (b) Physical goods were received — GRN, delivery challan, and stock entry attached; (c) Payment was made via bank transfer — transaction reference [number]; (d) The goods purchased are directly related to the taxpayer's business.</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73 proceedings require proof of fake invoices or accommodation entries. Genuine commercial transactions cannot be treated as fake merely because the department suspects the supplier. The taxpayer is an innocent purchaser who dealt in good faith. Reference: 2023 PTD 789 — where buyer acted in good faith, Section 73 cannot apply.</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allegations of fake/flying invoices may be dropped as all transactions are genuine;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Input tax already claimed may not be reversed on account of unsubstantiated allegations;</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Criminal proceedings, if any, may not be initiated in the absence of evidence;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2026-06-26T13:19:24.013Z</dcterms:created>
  <dcterms:modified xsi:type="dcterms:W3CDTF">2026-06-26T13:19:24.013Z</dcterms:modified>
</cp:coreProperties>
</file>

<file path=docProps/custom.xml><?xml version="1.0" encoding="utf-8"?>
<Properties xmlns="http://schemas.openxmlformats.org/officeDocument/2006/custom-properties" xmlns:vt="http://schemas.openxmlformats.org/officeDocument/2006/docPropsVTypes"/>
</file>